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rawings/drawing3.xml" ContentType="application/vnd.openxmlformats-officedocument.drawingml.chartshap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Default Extension="wdp" ContentType="image/vnd.ms-photo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458" w:rsidRPr="00DE2D11" w:rsidRDefault="003D2458" w:rsidP="00A34B69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-295275</wp:posOffset>
            </wp:positionV>
            <wp:extent cx="819150" cy="857250"/>
            <wp:effectExtent l="152400" t="114300" r="133350" b="11430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<a14:imgLayer r:embed="rId8">
                              <a14:imgEffect>
                                <a14:backgroundRemoval t="0" b="985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5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-295276</wp:posOffset>
            </wp:positionV>
            <wp:extent cx="828675" cy="828675"/>
            <wp:effectExtent l="133350" t="76200" r="314325" b="276225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tab/>
      </w:r>
      <w:r>
        <w:rPr>
          <w:lang w:val="id-ID"/>
        </w:rPr>
        <w:t xml:space="preserve">                                              </w:t>
      </w:r>
      <w:r w:rsidRPr="00DE2D11">
        <w:rPr>
          <w:rFonts w:ascii="Arial" w:hAnsi="Arial" w:cs="Arial"/>
          <w:b/>
          <w:bCs/>
          <w:sz w:val="28"/>
          <w:szCs w:val="28"/>
          <w:lang w:val="id-ID"/>
        </w:rPr>
        <w:t xml:space="preserve">RSUD BALI MANDARA </w:t>
      </w:r>
    </w:p>
    <w:p w:rsidR="003D2458" w:rsidRPr="00DE2D11" w:rsidRDefault="003D2458" w:rsidP="00A34B69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DE2D11">
        <w:rPr>
          <w:rFonts w:ascii="Arial" w:hAnsi="Arial" w:cs="Arial"/>
          <w:b/>
          <w:bCs/>
          <w:sz w:val="28"/>
          <w:szCs w:val="28"/>
          <w:lang w:val="id-ID"/>
        </w:rPr>
        <w:t xml:space="preserve">                            </w:t>
      </w:r>
      <w:r w:rsidR="00DE2D11">
        <w:rPr>
          <w:rFonts w:ascii="Arial" w:hAnsi="Arial" w:cs="Arial"/>
          <w:b/>
          <w:bCs/>
          <w:sz w:val="28"/>
          <w:szCs w:val="28"/>
          <w:lang w:val="id-ID"/>
        </w:rPr>
        <w:t xml:space="preserve">           </w:t>
      </w:r>
      <w:r w:rsidRPr="00DE2D11">
        <w:rPr>
          <w:rFonts w:ascii="Arial" w:hAnsi="Arial" w:cs="Arial"/>
          <w:b/>
          <w:bCs/>
          <w:sz w:val="28"/>
          <w:szCs w:val="28"/>
          <w:lang w:val="id-ID"/>
        </w:rPr>
        <w:t>PROVINSI BALI</w:t>
      </w:r>
      <w:r w:rsidRPr="00DE2D11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21441D" w:rsidRDefault="0040268A" w:rsidP="003D2458">
      <w:pPr>
        <w:tabs>
          <w:tab w:val="left" w:pos="3405"/>
        </w:tabs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224790</wp:posOffset>
            </wp:positionV>
            <wp:extent cx="6419850" cy="3629025"/>
            <wp:effectExtent l="19050" t="0" r="19050" b="0"/>
            <wp:wrapNone/>
            <wp:docPr id="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Default="0021441D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40268A" w:rsidP="0021441D">
      <w:pPr>
        <w:rPr>
          <w:lang w:val="id-ID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15240</wp:posOffset>
            </wp:positionV>
            <wp:extent cx="6419850" cy="4371975"/>
            <wp:effectExtent l="19050" t="0" r="19050" b="0"/>
            <wp:wrapNone/>
            <wp:docPr id="6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725152" w:rsidRDefault="00725152" w:rsidP="0021441D">
      <w:pPr>
        <w:rPr>
          <w:lang w:val="id-ID"/>
        </w:rPr>
      </w:pPr>
    </w:p>
    <w:p w:rsidR="0021441D" w:rsidRPr="00725152" w:rsidRDefault="0021441D" w:rsidP="0021441D">
      <w:pPr>
        <w:rPr>
          <w:lang w:val="id-ID"/>
        </w:rPr>
      </w:pPr>
    </w:p>
    <w:p w:rsidR="0021441D" w:rsidRPr="0021441D" w:rsidRDefault="0021441D" w:rsidP="0021441D"/>
    <w:p w:rsidR="0021441D" w:rsidRPr="00A069FC" w:rsidRDefault="0021441D" w:rsidP="0021441D">
      <w:pPr>
        <w:rPr>
          <w:lang w:val="id-ID"/>
        </w:rPr>
      </w:pPr>
    </w:p>
    <w:p w:rsidR="0021441D" w:rsidRPr="0021441D" w:rsidRDefault="005D085B" w:rsidP="0021441D">
      <w:r w:rsidRPr="005D085B">
        <w:rPr>
          <w:noProof/>
          <w:color w:val="FFFF00"/>
        </w:rPr>
        <w:lastRenderedPageBreak/>
        <w:drawing>
          <wp:inline distT="0" distB="0" distL="0" distR="0">
            <wp:extent cx="5905500" cy="3467100"/>
            <wp:effectExtent l="19050" t="0" r="19050" b="0"/>
            <wp:docPr id="8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1441D" w:rsidRPr="0021441D" w:rsidRDefault="0021441D" w:rsidP="0021441D"/>
    <w:p w:rsidR="0021441D" w:rsidRDefault="0021441D" w:rsidP="0021441D"/>
    <w:p w:rsidR="003D0D94" w:rsidRPr="0021441D" w:rsidRDefault="0021441D" w:rsidP="0021441D">
      <w:pPr>
        <w:tabs>
          <w:tab w:val="left" w:pos="3465"/>
        </w:tabs>
      </w:pPr>
      <w:r>
        <w:tab/>
      </w:r>
    </w:p>
    <w:sectPr w:rsidR="003D0D94" w:rsidRPr="0021441D" w:rsidSect="00900704">
      <w:pgSz w:w="11907" w:h="1871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458" w:rsidRDefault="003D2458" w:rsidP="003D2458">
      <w:pPr>
        <w:spacing w:after="0" w:line="240" w:lineRule="auto"/>
      </w:pPr>
      <w:r>
        <w:separator/>
      </w:r>
    </w:p>
  </w:endnote>
  <w:endnote w:type="continuationSeparator" w:id="0">
    <w:p w:rsidR="003D2458" w:rsidRDefault="003D2458" w:rsidP="003D2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458" w:rsidRDefault="003D2458" w:rsidP="003D2458">
      <w:pPr>
        <w:spacing w:after="0" w:line="240" w:lineRule="auto"/>
      </w:pPr>
      <w:r>
        <w:separator/>
      </w:r>
    </w:p>
  </w:footnote>
  <w:footnote w:type="continuationSeparator" w:id="0">
    <w:p w:rsidR="003D2458" w:rsidRDefault="003D2458" w:rsidP="003D24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49D3"/>
    <w:rsid w:val="0021441D"/>
    <w:rsid w:val="003D2458"/>
    <w:rsid w:val="0040268A"/>
    <w:rsid w:val="00455236"/>
    <w:rsid w:val="005D085B"/>
    <w:rsid w:val="005D7DEC"/>
    <w:rsid w:val="005E67BE"/>
    <w:rsid w:val="006D295C"/>
    <w:rsid w:val="00725152"/>
    <w:rsid w:val="007B05F9"/>
    <w:rsid w:val="00900704"/>
    <w:rsid w:val="00A069FC"/>
    <w:rsid w:val="00A34B69"/>
    <w:rsid w:val="00B209EC"/>
    <w:rsid w:val="00BF4868"/>
    <w:rsid w:val="00C80D51"/>
    <w:rsid w:val="00D520DC"/>
    <w:rsid w:val="00DE2D11"/>
    <w:rsid w:val="00DE40D4"/>
    <w:rsid w:val="00DF0447"/>
    <w:rsid w:val="00ED4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7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9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D2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2458"/>
  </w:style>
  <w:style w:type="paragraph" w:styleId="Footer">
    <w:name w:val="footer"/>
    <w:basedOn w:val="Normal"/>
    <w:link w:val="FooterChar"/>
    <w:uiPriority w:val="99"/>
    <w:semiHidden/>
    <w:unhideWhenUsed/>
    <w:rsid w:val="003D2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24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../ppt/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H:\Keluhan%20Pasien%20RSBM\Keluhan%202024\Keluhan%20Pasien%202024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H:\Keluhan%20Pasien%20RSBM\Keluhan%202024\Keluhan%20Pasien%202024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C:\Users\UMUM%202\Downloads\Keluhan%20Pasien%202023%20salinan%20salina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style val="34"/>
  <c:pivotSource>
    <c:name>[Keluhan Pasien 2024.xlsx]Chart Keluhan!PivotTable1</c:name>
    <c:fmtId val="36"/>
  </c:pivotSource>
  <c:chart>
    <c:title>
      <c:tx>
        <c:rich>
          <a:bodyPr/>
          <a:lstStyle/>
          <a:p>
            <a:pPr algn="ctr">
              <a:defRPr/>
            </a:pPr>
            <a:r>
              <a:rPr lang="id-ID" sz="1200" b="1" i="0" baseline="0">
                <a:latin typeface="Arial" pitchFamily="34" charset="0"/>
                <a:cs typeface="Arial" pitchFamily="34" charset="0"/>
              </a:rPr>
              <a:t>Total Pengaduan </a:t>
            </a:r>
            <a:endParaRPr lang="en-US" sz="1200">
              <a:latin typeface="Arial" pitchFamily="34" charset="0"/>
              <a:cs typeface="Arial" pitchFamily="34" charset="0"/>
            </a:endParaRPr>
          </a:p>
          <a:p>
            <a:pPr algn="ctr">
              <a:defRPr/>
            </a:pPr>
            <a:r>
              <a:rPr lang="id-ID" sz="1200" b="1" i="0" baseline="0">
                <a:latin typeface="Arial" pitchFamily="34" charset="0"/>
                <a:cs typeface="Arial" pitchFamily="34" charset="0"/>
              </a:rPr>
              <a:t>Di RSUD Bali Mandara </a:t>
            </a:r>
            <a:endParaRPr lang="en-US" sz="1200">
              <a:latin typeface="Arial" pitchFamily="34" charset="0"/>
              <a:cs typeface="Arial" pitchFamily="34" charset="0"/>
            </a:endParaRPr>
          </a:p>
          <a:p>
            <a:pPr algn="ctr">
              <a:defRPr/>
            </a:pPr>
            <a:r>
              <a:rPr lang="id-ID" sz="1200" b="1" i="0" baseline="0">
                <a:latin typeface="Arial" pitchFamily="34" charset="0"/>
                <a:cs typeface="Arial" pitchFamily="34" charset="0"/>
              </a:rPr>
              <a:t> Tahun 2024</a:t>
            </a:r>
            <a:endParaRPr lang="en-US" sz="1200">
              <a:latin typeface="Arial" pitchFamily="34" charset="0"/>
              <a:cs typeface="Arial" pitchFamily="34" charset="0"/>
            </a:endParaRPr>
          </a:p>
        </c:rich>
      </c:tx>
      <c:layout>
        <c:manualLayout>
          <c:xMode val="edge"/>
          <c:yMode val="edge"/>
          <c:x val="0.35078090313486487"/>
          <c:y val="6.7138324127394525E-2"/>
        </c:manualLayout>
      </c:layout>
    </c:title>
    <c:pivotFmts>
      <c:pivotFmt>
        <c:idx val="0"/>
        <c:marker>
          <c:symbol val="none"/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dLblPos val="inEnd"/>
          <c:showVal val="1"/>
          <c:showCatName val="1"/>
          <c:showPercent val="1"/>
        </c:dLbl>
      </c:pivotFmt>
      <c:pivotFmt>
        <c:idx val="1"/>
        <c:dLbl>
          <c:idx val="0"/>
          <c:delete val="1"/>
        </c:dLbl>
      </c:pivotFmt>
      <c:pivotFmt>
        <c:idx val="2"/>
      </c:pivotFmt>
      <c:pivotFmt>
        <c:idx val="3"/>
      </c:pivotFmt>
      <c:pivotFmt>
        <c:idx val="4"/>
      </c:pivotFmt>
      <c:pivotFmt>
        <c:idx val="5"/>
      </c:pivotFmt>
      <c:pivotFmt>
        <c:idx val="6"/>
      </c:pivotFmt>
      <c:pivotFmt>
        <c:idx val="7"/>
      </c:pivotFmt>
      <c:pivotFmt>
        <c:idx val="8"/>
      </c:pivotFmt>
      <c:pivotFmt>
        <c:idx val="9"/>
      </c:pivotFmt>
      <c:pivotFmt>
        <c:idx val="10"/>
      </c:pivotFmt>
      <c:pivotFmt>
        <c:idx val="11"/>
      </c:pivotFmt>
      <c:pivotFmt>
        <c:idx val="12"/>
      </c:pivotFmt>
      <c:pivotFmt>
        <c:idx val="13"/>
      </c:pivotFmt>
      <c:pivotFmt>
        <c:idx val="14"/>
      </c:pivotFmt>
      <c:pivotFmt>
        <c:idx val="15"/>
      </c:pivotFmt>
      <c:pivotFmt>
        <c:idx val="16"/>
      </c:pivotFmt>
      <c:pivotFmt>
        <c:idx val="17"/>
      </c:pivotFmt>
      <c:pivotFmt>
        <c:idx val="18"/>
      </c:pivotFmt>
      <c:pivotFmt>
        <c:idx val="19"/>
      </c:pivotFmt>
      <c:pivotFmt>
        <c:idx val="20"/>
      </c:pivotFmt>
      <c:pivotFmt>
        <c:idx val="21"/>
      </c:pivotFmt>
      <c:pivotFmt>
        <c:idx val="22"/>
      </c:pivotFmt>
      <c:pivotFmt>
        <c:idx val="23"/>
      </c:pivotFmt>
      <c:pivotFmt>
        <c:idx val="24"/>
      </c:pivotFmt>
      <c:pivotFmt>
        <c:idx val="25"/>
      </c:pivotFmt>
      <c:pivotFmt>
        <c:idx val="26"/>
      </c:pivotFmt>
      <c:pivotFmt>
        <c:idx val="27"/>
      </c:pivotFmt>
      <c:pivotFmt>
        <c:idx val="28"/>
      </c:pivotFmt>
      <c:pivotFmt>
        <c:idx val="29"/>
      </c:pivotFmt>
      <c:pivotFmt>
        <c:idx val="30"/>
      </c:pivotFmt>
      <c:pivotFmt>
        <c:idx val="31"/>
      </c:pivotFmt>
      <c:pivotFmt>
        <c:idx val="32"/>
      </c:pivotFmt>
      <c:pivotFmt>
        <c:idx val="33"/>
      </c:pivotFmt>
      <c:pivotFmt>
        <c:idx val="34"/>
      </c:pivotFmt>
      <c:pivotFmt>
        <c:idx val="35"/>
      </c:pivotFmt>
      <c:pivotFmt>
        <c:idx val="36"/>
      </c:pivotFmt>
      <c:pivotFmt>
        <c:idx val="37"/>
      </c:pivotFmt>
      <c:pivotFmt>
        <c:idx val="38"/>
      </c:pivotFmt>
      <c:pivotFmt>
        <c:idx val="39"/>
        <c:marker>
          <c:symbol val="none"/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dLblPos val="inEnd"/>
          <c:showVal val="1"/>
          <c:showCatName val="1"/>
          <c:showPercent val="1"/>
        </c:dLbl>
      </c:pivotFmt>
    </c:pivotFmts>
    <c:plotArea>
      <c:layout>
        <c:manualLayout>
          <c:layoutTarget val="inner"/>
          <c:xMode val="edge"/>
          <c:yMode val="edge"/>
          <c:x val="0.2113798609001768"/>
          <c:y val="0.2451484902969806"/>
          <c:w val="0.5578437042328831"/>
          <c:h val="0.71580030108176773"/>
        </c:manualLayout>
      </c:layout>
      <c:pieChart>
        <c:varyColors val="1"/>
        <c:ser>
          <c:idx val="0"/>
          <c:order val="0"/>
          <c:tx>
            <c:strRef>
              <c:f>'Chart Keluhan'!$B$3</c:f>
              <c:strCache>
                <c:ptCount val="1"/>
                <c:pt idx="0">
                  <c:v>Total</c:v>
                </c:pt>
              </c:strCache>
            </c:strRef>
          </c:tx>
          <c:dLbls>
            <c:dLbl>
              <c:idx val="0"/>
              <c:layout>
                <c:manualLayout>
                  <c:x val="-4.6527434319962251E-2"/>
                  <c:y val="5.7514897252016729E-2"/>
                </c:manualLayout>
              </c:layout>
              <c:dLblPos val="bestFit"/>
              <c:showLegendKey val="1"/>
              <c:showCatName val="1"/>
              <c:showPercent val="1"/>
            </c:dLbl>
            <c:dLbl>
              <c:idx val="1"/>
              <c:layout>
                <c:manualLayout>
                  <c:x val="-3.9880358923230309E-2"/>
                  <c:y val="-6.99912510936133E-3"/>
                </c:manualLayout>
              </c:layout>
              <c:dLblPos val="bestFit"/>
              <c:showLegendKey val="1"/>
              <c:showCatName val="1"/>
              <c:showPercent val="1"/>
            </c:dLbl>
            <c:dLbl>
              <c:idx val="2"/>
              <c:layout>
                <c:manualLayout>
                  <c:x val="-3.9880358923230226E-2"/>
                  <c:y val="2.0997375328083989E-2"/>
                </c:manualLayout>
              </c:layout>
              <c:dLblPos val="bestFit"/>
              <c:showLegendKey val="1"/>
              <c:showCatName val="1"/>
              <c:showPercent val="1"/>
            </c:dLbl>
            <c:dLbl>
              <c:idx val="3"/>
              <c:layout>
                <c:manualLayout>
                  <c:x val="7.3113991359255573E-2"/>
                  <c:y val="-2.5586353944562899E-2"/>
                </c:manualLayout>
              </c:layout>
              <c:dLblPos val="bestFit"/>
              <c:showLegendKey val="1"/>
              <c:showCatName val="1"/>
              <c:showPercent val="1"/>
            </c:dLbl>
            <c:dLbl>
              <c:idx val="4"/>
              <c:layout>
                <c:manualLayout>
                  <c:x val="6.6467264872050518E-3"/>
                  <c:y val="8.4855023043379427E-2"/>
                </c:manualLayout>
              </c:layout>
              <c:dLblPos val="bestFit"/>
              <c:showLegendKey val="1"/>
              <c:showCatName val="1"/>
              <c:showPercent val="1"/>
            </c:dLbl>
            <c:dLbl>
              <c:idx val="5"/>
              <c:layout>
                <c:manualLayout>
                  <c:x val="-0.21300949399129263"/>
                  <c:y val="0.51807689393156564"/>
                </c:manualLayout>
              </c:layout>
              <c:dLblPos val="bestFit"/>
              <c:showLegendKey val="1"/>
              <c:showCatName val="1"/>
              <c:showPercent val="1"/>
            </c:dLbl>
            <c:dLbl>
              <c:idx val="6"/>
              <c:layout>
                <c:manualLayout>
                  <c:x val="-0.23265699354346286"/>
                  <c:y val="0.13623659247318493"/>
                </c:manualLayout>
              </c:layout>
              <c:dLblPos val="bestFit"/>
              <c:showLegendKey val="1"/>
              <c:showCatName val="1"/>
              <c:showPercent val="1"/>
            </c:dLbl>
            <c:dLbl>
              <c:idx val="7"/>
              <c:layout>
                <c:manualLayout>
                  <c:x val="-0.24917077501810792"/>
                  <c:y val="0.39823340980015293"/>
                </c:manualLayout>
              </c:layout>
              <c:dLblPos val="bestFit"/>
              <c:showLegendKey val="1"/>
              <c:showCatName val="1"/>
              <c:showPercent val="1"/>
            </c:dLbl>
            <c:dLbl>
              <c:idx val="8"/>
              <c:layout>
                <c:manualLayout>
                  <c:x val="-0.28523065180650636"/>
                  <c:y val="0.27007805126721363"/>
                </c:manualLayout>
              </c:layout>
              <c:dLblPos val="bestFit"/>
              <c:showLegendKey val="1"/>
              <c:showCatName val="1"/>
              <c:showPercent val="1"/>
            </c:dLbl>
            <c:txPr>
              <a:bodyPr/>
              <a:lstStyle/>
              <a:p>
                <a:pPr>
                  <a:defRPr/>
                </a:pPr>
                <a:endParaRPr lang="en-US"/>
              </a:p>
            </c:txPr>
            <c:dLblPos val="outEnd"/>
            <c:showLegendKey val="1"/>
            <c:showCatName val="1"/>
            <c:showPercent val="1"/>
          </c:dLbls>
          <c:cat>
            <c:strRef>
              <c:f>'Chart Keluhan'!$A$4:$A$13</c:f>
              <c:strCache>
                <c:ptCount val="9"/>
                <c:pt idx="0">
                  <c:v>Langsung</c:v>
                </c:pt>
                <c:pt idx="1">
                  <c:v>Email</c:v>
                </c:pt>
                <c:pt idx="2">
                  <c:v>Online BPJS</c:v>
                </c:pt>
                <c:pt idx="3">
                  <c:v>Google Review</c:v>
                </c:pt>
                <c:pt idx="4">
                  <c:v>Kotak Saran</c:v>
                </c:pt>
                <c:pt idx="5">
                  <c:v>DM IG</c:v>
                </c:pt>
                <c:pt idx="6">
                  <c:v>Link Google Form</c:v>
                </c:pt>
                <c:pt idx="7">
                  <c:v>Kotak Saran </c:v>
                </c:pt>
                <c:pt idx="8">
                  <c:v>Tertulis FO</c:v>
                </c:pt>
              </c:strCache>
            </c:strRef>
          </c:cat>
          <c:val>
            <c:numRef>
              <c:f>'Chart Keluhan'!$B$4:$B$13</c:f>
              <c:numCache>
                <c:formatCode>General</c:formatCode>
                <c:ptCount val="9"/>
                <c:pt idx="0">
                  <c:v>30</c:v>
                </c:pt>
                <c:pt idx="1">
                  <c:v>9</c:v>
                </c:pt>
                <c:pt idx="2">
                  <c:v>4</c:v>
                </c:pt>
                <c:pt idx="3">
                  <c:v>93</c:v>
                </c:pt>
                <c:pt idx="4">
                  <c:v>6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2</c:v>
                </c:pt>
              </c:numCache>
            </c:numRef>
          </c:val>
        </c:ser>
        <c:firstSliceAng val="0"/>
      </c:pieChart>
      <c:dTable>
        <c:showHorzBorder val="1"/>
        <c:showVertBorder val="1"/>
        <c:showOutline val="1"/>
        <c:showKeys val="1"/>
      </c:dTable>
      <c:spPr>
        <a:solidFill>
          <a:schemeClr val="accent1">
            <a:lumMod val="40000"/>
            <a:lumOff val="60000"/>
          </a:schemeClr>
        </a:solidFill>
        <a:ln>
          <a:solidFill>
            <a:schemeClr val="tx2">
              <a:lumMod val="75000"/>
            </a:schemeClr>
          </a:solidFill>
        </a:ln>
      </c:spPr>
    </c:plotArea>
    <c:plotVisOnly val="1"/>
  </c:chart>
  <c:spPr>
    <a:solidFill>
      <a:schemeClr val="tx2">
        <a:lumMod val="20000"/>
        <a:lumOff val="80000"/>
      </a:schemeClr>
    </a:solidFill>
    <a:ln>
      <a:solidFill>
        <a:schemeClr val="tx1"/>
      </a:solidFill>
    </a:ln>
  </c:spPr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pivotSource>
    <c:name>[Keluhan Pasien 2024.xlsx]Chart Tabel!PivotTable4</c:name>
    <c:fmtId val="34"/>
  </c:pivotSource>
  <c:chart>
    <c:autoTitleDeleted val="1"/>
    <c:pivotFmts>
      <c:pivotFmt>
        <c:idx val="0"/>
        <c:dLbl>
          <c:idx val="0"/>
          <c:showVal val="1"/>
        </c:dLbl>
      </c:pivotFmt>
      <c:pivotFmt>
        <c:idx val="1"/>
        <c:dLbl>
          <c:idx val="0"/>
          <c:showVal val="1"/>
        </c:dLbl>
      </c:pivotFmt>
      <c:pivotFmt>
        <c:idx val="2"/>
        <c:dLbl>
          <c:idx val="0"/>
          <c:showVal val="1"/>
        </c:dLbl>
      </c:pivotFmt>
      <c:pivotFmt>
        <c:idx val="3"/>
        <c:dLbl>
          <c:idx val="0"/>
          <c:showVal val="1"/>
        </c:dLbl>
      </c:pivotFmt>
      <c:pivotFmt>
        <c:idx val="4"/>
        <c:dLbl>
          <c:idx val="0"/>
          <c:showVal val="1"/>
        </c:dLbl>
      </c:pivotFmt>
      <c:pivotFmt>
        <c:idx val="5"/>
        <c:dLbl>
          <c:idx val="0"/>
          <c:showVal val="1"/>
        </c:dLbl>
      </c:pivotFmt>
      <c:pivotFmt>
        <c:idx val="6"/>
        <c:dLbl>
          <c:idx val="0"/>
          <c:showVal val="1"/>
        </c:dLbl>
      </c:pivotFmt>
      <c:pivotFmt>
        <c:idx val="7"/>
        <c:dLbl>
          <c:idx val="0"/>
          <c:showVal val="1"/>
        </c:dLbl>
      </c:pivotFmt>
      <c:pivotFmt>
        <c:idx val="8"/>
        <c:dLbl>
          <c:idx val="0"/>
          <c:showVal val="1"/>
        </c:dLbl>
      </c:pivotFmt>
      <c:pivotFmt>
        <c:idx val="9"/>
        <c:dLbl>
          <c:idx val="0"/>
          <c:showVal val="1"/>
        </c:dLbl>
      </c:pivotFmt>
      <c:pivotFmt>
        <c:idx val="10"/>
        <c:dLbl>
          <c:idx val="0"/>
          <c:showVal val="1"/>
        </c:dLbl>
      </c:pivotFmt>
      <c:pivotFmt>
        <c:idx val="11"/>
        <c:dLbl>
          <c:idx val="0"/>
          <c:showVal val="1"/>
        </c:dLbl>
      </c:pivotFmt>
      <c:pivotFmt>
        <c:idx val="12"/>
        <c:dLbl>
          <c:idx val="0"/>
          <c:showVal val="1"/>
        </c:dLbl>
      </c:pivotFmt>
      <c:pivotFmt>
        <c:idx val="13"/>
        <c:dLbl>
          <c:idx val="0"/>
          <c:showVal val="1"/>
        </c:dLbl>
      </c:pivotFmt>
      <c:pivotFmt>
        <c:idx val="14"/>
        <c:dLbl>
          <c:idx val="0"/>
          <c:showVal val="1"/>
        </c:dLbl>
      </c:pivotFmt>
      <c:pivotFmt>
        <c:idx val="15"/>
        <c:dLbl>
          <c:idx val="0"/>
          <c:showVal val="1"/>
        </c:dLbl>
      </c:pivotFmt>
      <c:pivotFmt>
        <c:idx val="16"/>
        <c:dLbl>
          <c:idx val="0"/>
          <c:showVal val="1"/>
        </c:dLbl>
      </c:pivotFmt>
      <c:pivotFmt>
        <c:idx val="17"/>
        <c:dLbl>
          <c:idx val="0"/>
          <c:showVal val="1"/>
        </c:dLbl>
      </c:pivotFmt>
      <c:pivotFmt>
        <c:idx val="18"/>
        <c:dLbl>
          <c:idx val="0"/>
          <c:showVal val="1"/>
        </c:dLbl>
      </c:pivotFmt>
      <c:pivotFmt>
        <c:idx val="19"/>
        <c:dLbl>
          <c:idx val="0"/>
          <c:showVal val="1"/>
        </c:dLbl>
      </c:pivotFmt>
      <c:pivotFmt>
        <c:idx val="20"/>
        <c:dLbl>
          <c:idx val="0"/>
          <c:showVal val="1"/>
        </c:dLbl>
      </c:pivotFmt>
      <c:pivotFmt>
        <c:idx val="21"/>
        <c:dLbl>
          <c:idx val="0"/>
          <c:showVal val="1"/>
        </c:dLbl>
      </c:pivotFmt>
      <c:pivotFmt>
        <c:idx val="22"/>
        <c:dLbl>
          <c:idx val="0"/>
          <c:showVal val="1"/>
        </c:dLbl>
      </c:pivotFmt>
      <c:pivotFmt>
        <c:idx val="23"/>
        <c:dLbl>
          <c:idx val="0"/>
          <c:showVal val="1"/>
        </c:dLbl>
      </c:pivotFmt>
      <c:pivotFmt>
        <c:idx val="24"/>
        <c:dLbl>
          <c:idx val="0"/>
          <c:showVal val="1"/>
        </c:dLbl>
      </c:pivotFmt>
      <c:pivotFmt>
        <c:idx val="25"/>
        <c:dLbl>
          <c:idx val="0"/>
          <c:showVal val="1"/>
        </c:dLbl>
      </c:pivotFmt>
      <c:pivotFmt>
        <c:idx val="26"/>
        <c:dLbl>
          <c:idx val="0"/>
          <c:showVal val="1"/>
        </c:dLbl>
      </c:pivotFmt>
      <c:pivotFmt>
        <c:idx val="27"/>
        <c:dLbl>
          <c:idx val="0"/>
          <c:showVal val="1"/>
        </c:dLbl>
      </c:pivotFmt>
      <c:pivotFmt>
        <c:idx val="28"/>
        <c:dLbl>
          <c:idx val="0"/>
          <c:showVal val="1"/>
        </c:dLbl>
      </c:pivotFmt>
      <c:pivotFmt>
        <c:idx val="29"/>
      </c:pivotFmt>
      <c:pivotFmt>
        <c:idx val="30"/>
      </c:pivotFmt>
      <c:pivotFmt>
        <c:idx val="31"/>
      </c:pivotFmt>
      <c:pivotFmt>
        <c:idx val="32"/>
      </c:pivotFmt>
      <c:pivotFmt>
        <c:idx val="33"/>
      </c:pivotFmt>
      <c:pivotFmt>
        <c:idx val="34"/>
      </c:pivotFmt>
      <c:pivotFmt>
        <c:idx val="35"/>
      </c:pivotFmt>
      <c:pivotFmt>
        <c:idx val="36"/>
      </c:pivotFmt>
      <c:pivotFmt>
        <c:idx val="37"/>
      </c:pivotFmt>
      <c:pivotFmt>
        <c:idx val="38"/>
        <c:spPr>
          <a:ln>
            <a:solidFill>
              <a:schemeClr val="bg2">
                <a:lumMod val="25000"/>
              </a:schemeClr>
            </a:solidFill>
          </a:ln>
        </c:spPr>
        <c:marker>
          <c:spPr>
            <a:ln>
              <a:solidFill>
                <a:schemeClr val="bg2">
                  <a:lumMod val="25000"/>
                </a:schemeClr>
              </a:solidFill>
            </a:ln>
          </c:spPr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showCatName val="1"/>
          <c:showPercent val="1"/>
        </c:dLbl>
      </c:pivotFmt>
      <c:pivotFmt>
        <c:idx val="39"/>
      </c:pivotFmt>
      <c:pivotFmt>
        <c:idx val="40"/>
        <c:spPr>
          <a:ln>
            <a:solidFill>
              <a:schemeClr val="bg2">
                <a:lumMod val="25000"/>
              </a:schemeClr>
            </a:solidFill>
          </a:ln>
        </c:spPr>
        <c:marker>
          <c:symbol val="none"/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showCatName val="1"/>
          <c:showPercent val="1"/>
        </c:dLbl>
      </c:pivotFmt>
    </c:pivotFmts>
    <c:plotArea>
      <c:layout>
        <c:manualLayout>
          <c:layoutTarget val="inner"/>
          <c:xMode val="edge"/>
          <c:yMode val="edge"/>
          <c:x val="0.32532255426528656"/>
          <c:y val="0.15480509380771848"/>
          <c:w val="0.51196538859942209"/>
          <c:h val="0.75177488434860673"/>
        </c:manualLayout>
      </c:layout>
      <c:doughnutChart>
        <c:varyColors val="1"/>
        <c:ser>
          <c:idx val="0"/>
          <c:order val="0"/>
          <c:tx>
            <c:strRef>
              <c:f>'Chart Tabel'!$B$3</c:f>
              <c:strCache>
                <c:ptCount val="1"/>
                <c:pt idx="0">
                  <c:v>Total</c:v>
                </c:pt>
              </c:strCache>
            </c:strRef>
          </c:tx>
          <c:spPr>
            <a:ln>
              <a:solidFill>
                <a:schemeClr val="bg2">
                  <a:lumMod val="25000"/>
                </a:schemeClr>
              </a:solidFill>
            </a:ln>
          </c:spPr>
          <c:dLbls>
            <c:dLbl>
              <c:idx val="0"/>
              <c:layout>
                <c:manualLayout>
                  <c:x val="7.9129574678536829E-3"/>
                  <c:y val="-8.714825679469804E-3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4.549950544015826E-2"/>
                  <c:y val="6.1002178649237473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-3.5608308605341248E-2"/>
                  <c:y val="-4.0668119099491647E-2"/>
                </c:manualLayout>
              </c:layout>
              <c:showCatName val="1"/>
              <c:showPercent val="1"/>
            </c:dLbl>
            <c:txPr>
              <a:bodyPr/>
              <a:lstStyle/>
              <a:p>
                <a:pPr>
                  <a:defRPr/>
                </a:pPr>
                <a:endParaRPr lang="en-US"/>
              </a:p>
            </c:txPr>
            <c:showCatName val="1"/>
            <c:showPercent val="1"/>
            <c:showLeaderLines val="1"/>
          </c:dLbls>
          <c:cat>
            <c:strRef>
              <c:f>'Chart Tabel'!$A$4:$A$11</c:f>
              <c:strCache>
                <c:ptCount val="7"/>
                <c:pt idx="0">
                  <c:v>Bureaucracy</c:v>
                </c:pt>
                <c:pt idx="1">
                  <c:v>Delays</c:v>
                </c:pt>
                <c:pt idx="2">
                  <c:v>Environment</c:v>
                </c:pt>
                <c:pt idx="3">
                  <c:v>Patient-staf dialogue</c:v>
                </c:pt>
                <c:pt idx="4">
                  <c:v>Quality Care</c:v>
                </c:pt>
                <c:pt idx="5">
                  <c:v>Service Issue</c:v>
                </c:pt>
                <c:pt idx="6">
                  <c:v>Enviroment</c:v>
                </c:pt>
              </c:strCache>
            </c:strRef>
          </c:cat>
          <c:val>
            <c:numRef>
              <c:f>'Chart Tabel'!$B$4:$B$11</c:f>
              <c:numCache>
                <c:formatCode>General</c:formatCode>
                <c:ptCount val="7"/>
                <c:pt idx="0">
                  <c:v>3</c:v>
                </c:pt>
                <c:pt idx="1">
                  <c:v>53</c:v>
                </c:pt>
                <c:pt idx="2">
                  <c:v>2</c:v>
                </c:pt>
                <c:pt idx="3">
                  <c:v>48</c:v>
                </c:pt>
                <c:pt idx="4">
                  <c:v>13</c:v>
                </c:pt>
                <c:pt idx="5">
                  <c:v>10</c:v>
                </c:pt>
                <c:pt idx="6">
                  <c:v>19</c:v>
                </c:pt>
              </c:numCache>
            </c:numRef>
          </c:val>
        </c:ser>
        <c:dLbls>
          <c:showCatName val="1"/>
          <c:showPercent val="1"/>
        </c:dLbls>
        <c:firstSliceAng val="0"/>
        <c:holeSize val="50"/>
      </c:doughnutChart>
      <c:spPr>
        <a:solidFill>
          <a:schemeClr val="accent5">
            <a:lumMod val="40000"/>
            <a:lumOff val="60000"/>
          </a:schemeClr>
        </a:solidFill>
      </c:spPr>
    </c:plotArea>
    <c:plotVisOnly val="1"/>
  </c:chart>
  <c:spPr>
    <a:solidFill>
      <a:schemeClr val="accent1"/>
    </a:solidFill>
  </c:spPr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pivotSource>
    <c:name>[Keluhan Pasien 2023 salinan salinan.xlsx]Sheet2!PivotTable1</c:name>
    <c:fmtId val="11"/>
  </c:pivotSource>
  <c:chart>
    <c:title>
      <c:tx>
        <c:rich>
          <a:bodyPr/>
          <a:lstStyle/>
          <a:p>
            <a:pPr>
              <a:defRPr/>
            </a:pPr>
            <a:r>
              <a:rPr lang="id-ID" sz="1100">
                <a:latin typeface="Arial" pitchFamily="34" charset="0"/>
                <a:cs typeface="Arial" pitchFamily="34" charset="0"/>
              </a:rPr>
              <a:t>Persentase</a:t>
            </a:r>
            <a:r>
              <a:rPr lang="id-ID" sz="1100" baseline="0">
                <a:latin typeface="Arial" pitchFamily="34" charset="0"/>
                <a:cs typeface="Arial" pitchFamily="34" charset="0"/>
              </a:rPr>
              <a:t> pengaduan </a:t>
            </a:r>
          </a:p>
          <a:p>
            <a:pPr>
              <a:defRPr/>
            </a:pPr>
            <a:r>
              <a:rPr lang="id-ID" sz="1100" baseline="0">
                <a:latin typeface="Arial" pitchFamily="34" charset="0"/>
                <a:cs typeface="Arial" pitchFamily="34" charset="0"/>
              </a:rPr>
              <a:t>yang telah berhasil ditindaklanjuti</a:t>
            </a:r>
            <a:endParaRPr lang="en-US" sz="1100">
              <a:latin typeface="Arial" pitchFamily="34" charset="0"/>
              <a:cs typeface="Arial" pitchFamily="34" charset="0"/>
            </a:endParaRPr>
          </a:p>
        </c:rich>
      </c:tx>
      <c:layout/>
    </c:title>
    <c:pivotFmts>
      <c:pivotFmt>
        <c:idx val="0"/>
        <c:marker>
          <c:symbol val="none"/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showCatName val="1"/>
          <c:showPercent val="1"/>
        </c:dLbl>
      </c:pivotFmt>
      <c:pivotFmt>
        <c:idx val="1"/>
        <c:marker>
          <c:symbol val="none"/>
        </c:marker>
      </c:pivotFmt>
      <c:pivotFmt>
        <c:idx val="2"/>
        <c:marker>
          <c:symbol val="none"/>
        </c:marker>
      </c:pivotFmt>
      <c:pivotFmt>
        <c:idx val="3"/>
        <c:marker>
          <c:symbol val="none"/>
        </c:marker>
      </c:pivotFmt>
      <c:pivotFmt>
        <c:idx val="4"/>
        <c:dLbl>
          <c:idx val="0"/>
          <c:layout>
            <c:manualLayout>
              <c:x val="4.3939030947703602E-3"/>
              <c:y val="-0.40769735704733279"/>
            </c:manualLayout>
          </c:layout>
          <c:tx>
            <c:rich>
              <a:bodyPr/>
              <a:lstStyle/>
              <a:p>
                <a:r>
                  <a:rPr lang="en-US"/>
                  <a:t>
100%</a:t>
                </a:r>
              </a:p>
            </c:rich>
          </c:tx>
          <c:showCatName val="1"/>
          <c:showPercent val="1"/>
        </c:dLbl>
      </c:pivotFmt>
      <c:pivotFmt>
        <c:idx val="5"/>
        <c:marker>
          <c:symbol val="none"/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showCatName val="1"/>
          <c:showPercent val="1"/>
        </c:dLbl>
      </c:pivotFmt>
      <c:pivotFmt>
        <c:idx val="6"/>
        <c:dLbl>
          <c:idx val="0"/>
          <c:layout>
            <c:manualLayout>
              <c:x val="4.3939030947703602E-3"/>
              <c:y val="-0.40769735704733279"/>
            </c:manualLayout>
          </c:layout>
          <c:tx>
            <c:rich>
              <a:bodyPr/>
              <a:lstStyle/>
              <a:p>
                <a:r>
                  <a:rPr lang="en-US"/>
                  <a:t>
100%</a:t>
                </a:r>
              </a:p>
            </c:rich>
          </c:tx>
          <c:showCatName val="1"/>
          <c:showPercent val="1"/>
        </c:dLbl>
      </c:pivotFmt>
    </c:pivotFmts>
    <c:plotArea>
      <c:layout/>
      <c:pieChart>
        <c:varyColors val="1"/>
        <c:ser>
          <c:idx val="0"/>
          <c:order val="0"/>
          <c:tx>
            <c:strRef>
              <c:f>Sheet2!$B$1</c:f>
              <c:strCache>
                <c:ptCount val="1"/>
                <c:pt idx="0">
                  <c:v>Total</c:v>
                </c:pt>
              </c:strCache>
            </c:strRef>
          </c:tx>
          <c:dLbls>
            <c:dLbl>
              <c:idx val="0"/>
              <c:layout>
                <c:manualLayout>
                  <c:x val="-1.895376285511481E-3"/>
                  <c:y val="-0.378393470047013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/>
                </a:pPr>
                <a:endParaRPr lang="en-US"/>
              </a:p>
            </c:txPr>
            <c:showCatName val="1"/>
            <c:showPercent val="1"/>
            <c:showLeaderLines val="1"/>
          </c:dLbls>
          <c:cat>
            <c:strRef>
              <c:f>Sheet2!$A$2:$A$3</c:f>
              <c:strCache>
                <c:ptCount val="1"/>
                <c:pt idx="0">
                  <c:v>Pengaduan yang selesai ditindaklanjuti</c:v>
                </c:pt>
              </c:strCache>
            </c:strRef>
          </c:cat>
          <c:val>
            <c:numRef>
              <c:f>Sheet2!$B$2:$B$3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firstSliceAng val="0"/>
      </c:pieChart>
    </c:plotArea>
    <c:plotVisOnly val="1"/>
  </c:chart>
  <c:spPr>
    <a:solidFill>
      <a:schemeClr val="accent3">
        <a:lumMod val="60000"/>
        <a:lumOff val="40000"/>
      </a:schemeClr>
    </a:solidFill>
  </c:sp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0.8051</cdr:x>
      <cdr:y>0.21785</cdr:y>
    </cdr:from>
    <cdr:to>
      <cdr:x>0.98452</cdr:x>
      <cdr:y>0.92126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5168616" y="790575"/>
          <a:ext cx="1151823" cy="2552700"/>
        </a:xfrm>
        <a:prstGeom xmlns:a="http://schemas.openxmlformats.org/drawingml/2006/main" prst="rect">
          <a:avLst/>
        </a:prstGeom>
        <a:solidFill xmlns:a="http://schemas.openxmlformats.org/drawingml/2006/main">
          <a:srgbClr val="92D050"/>
        </a:solidFill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l"/>
          <a:r>
            <a:rPr lang="id-ID" sz="1200">
              <a:latin typeface="Arial" pitchFamily="34" charset="0"/>
              <a:cs typeface="Arial" pitchFamily="34" charset="0"/>
            </a:rPr>
            <a:t>Dari</a:t>
          </a:r>
          <a:r>
            <a:rPr lang="id-ID" sz="1200" baseline="0">
              <a:latin typeface="Arial" pitchFamily="34" charset="0"/>
              <a:cs typeface="Arial" pitchFamily="34" charset="0"/>
            </a:rPr>
            <a:t> Total Keluhan 148 sudah selesai ditangani 100% </a:t>
          </a:r>
          <a:r>
            <a:rPr lang="en-US" sz="1200">
              <a:latin typeface="Arial" pitchFamily="34" charset="0"/>
              <a:cs typeface="Arial" pitchFamily="34" charset="0"/>
            </a:rPr>
            <a:t>(prosentase dihitung dari </a:t>
          </a:r>
          <a:r>
            <a:rPr lang="id-ID" sz="1200">
              <a:latin typeface="Arial" pitchFamily="34" charset="0"/>
              <a:cs typeface="Arial" pitchFamily="34" charset="0"/>
            </a:rPr>
            <a:t>keluhan</a:t>
          </a:r>
          <a:r>
            <a:rPr lang="id-ID" sz="1200" baseline="0">
              <a:latin typeface="Arial" pitchFamily="34" charset="0"/>
              <a:cs typeface="Arial" pitchFamily="34" charset="0"/>
            </a:rPr>
            <a:t> yang selesai ditindaklanjuti </a:t>
          </a:r>
          <a:r>
            <a:rPr lang="en-US" sz="1200">
              <a:latin typeface="Arial" pitchFamily="34" charset="0"/>
              <a:cs typeface="Arial" pitchFamily="34" charset="0"/>
            </a:rPr>
            <a:t>/jumlah </a:t>
          </a:r>
          <a:r>
            <a:rPr lang="id-ID" sz="1200">
              <a:latin typeface="Arial" pitchFamily="34" charset="0"/>
              <a:cs typeface="Arial" pitchFamily="34" charset="0"/>
            </a:rPr>
            <a:t>keluhan</a:t>
          </a:r>
          <a:r>
            <a:rPr lang="id-ID" sz="1200" baseline="0">
              <a:latin typeface="Arial" pitchFamily="34" charset="0"/>
              <a:cs typeface="Arial" pitchFamily="34" charset="0"/>
            </a:rPr>
            <a:t> yang ada </a:t>
          </a:r>
          <a:r>
            <a:rPr lang="en-US" sz="1200">
              <a:latin typeface="Arial" pitchFamily="34" charset="0"/>
              <a:cs typeface="Arial" pitchFamily="34" charset="0"/>
            </a:rPr>
            <a:t>x 100%)</a:t>
          </a:r>
          <a:r>
            <a:rPr lang="id-ID" sz="1200">
              <a:latin typeface="Arial" pitchFamily="34" charset="0"/>
              <a:cs typeface="Arial" pitchFamily="34" charset="0"/>
            </a:rPr>
            <a:t>.</a:t>
          </a:r>
          <a:endParaRPr lang="en-US" sz="1200">
            <a:latin typeface="Arial" pitchFamily="34" charset="0"/>
            <a:cs typeface="Arial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0.06825</cdr:x>
      <cdr:y>0.18301</cdr:y>
    </cdr:from>
    <cdr:to>
      <cdr:x>0.25074</cdr:x>
      <cdr:y>0.94989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38150" y="800100"/>
          <a:ext cx="1171575" cy="3352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0.03869</cdr:x>
      <cdr:y>0.19608</cdr:y>
    </cdr:from>
    <cdr:to>
      <cdr:x>0.26261</cdr:x>
      <cdr:y>0.81699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248352" y="857249"/>
          <a:ext cx="1437573" cy="271462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4">
            <a:lumMod val="60000"/>
            <a:lumOff val="40000"/>
          </a:schemeClr>
        </a:solidFill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l"/>
          <a:r>
            <a:rPr lang="id-ID" sz="1200">
              <a:latin typeface="Arial" pitchFamily="34" charset="0"/>
              <a:cs typeface="Arial" pitchFamily="34" charset="0"/>
            </a:rPr>
            <a:t>Berdasarkan klasifikasi</a:t>
          </a:r>
          <a:r>
            <a:rPr lang="id-ID" sz="1200" baseline="0">
              <a:latin typeface="Arial" pitchFamily="34" charset="0"/>
              <a:cs typeface="Arial" pitchFamily="34" charset="0"/>
            </a:rPr>
            <a:t> keluhan dari teori taxonomy,  maka dari total 148 keluhan paling banyak berasal dari Delays (Keterlambatan) sebanyak 36% dan Patient-staf dialogue (Komunikasi) sebanyak 32%. </a:t>
          </a:r>
          <a:endParaRPr lang="en-US" sz="1200">
            <a:latin typeface="Arial" pitchFamily="34" charset="0"/>
            <a:cs typeface="Arial" pitchFamily="34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0.49226</cdr:x>
      <cdr:y>0.23077</cdr:y>
    </cdr:from>
    <cdr:to>
      <cdr:x>0.5</cdr:x>
      <cdr:y>0.54395</cdr:y>
    </cdr:to>
    <cdr:sp macro="" textlink="">
      <cdr:nvSpPr>
        <cdr:cNvPr id="5" name="Straight Arrow Connector 4"/>
        <cdr:cNvSpPr/>
      </cdr:nvSpPr>
      <cdr:spPr>
        <a:xfrm xmlns:a="http://schemas.openxmlformats.org/drawingml/2006/main" flipH="1" flipV="1">
          <a:off x="2907030" y="800099"/>
          <a:ext cx="45719" cy="1085828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>
              <a:lumMod val="95000"/>
              <a:lumOff val="5000"/>
            </a:schemeClr>
          </a:solidFill>
          <a:headEnd type="arrow"/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2CEC9-6623-4594-84E9-60EF10DE7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UMUM 2</dc:creator>
  <cp:lastModifiedBy>UMUM 2</cp:lastModifiedBy>
  <cp:revision>5</cp:revision>
  <cp:lastPrinted>2024-08-08T03:45:00Z</cp:lastPrinted>
  <dcterms:created xsi:type="dcterms:W3CDTF">2025-02-25T02:30:00Z</dcterms:created>
  <dcterms:modified xsi:type="dcterms:W3CDTF">2025-02-25T02:53:00Z</dcterms:modified>
</cp:coreProperties>
</file>