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Default Extension="wdp" ContentType="image/vnd.ms-photo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-295275</wp:posOffset>
            </wp:positionV>
            <wp:extent cx="819150" cy="857250"/>
            <wp:effectExtent l="152400" t="114300" r="133350" b="11430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p="http://schemas.openxmlformats.org/presentationml/2006/main" xmlns:a14="http://schemas.microsoft.com/office/drawing/2010/main" xmlns="" xmlns:lc="http://schemas.openxmlformats.org/drawingml/2006/lockedCanvas">
                            <a14:imgLayer r:embed="rId8">
                              <a14:imgEffect>
                                <a14:backgroundRemoval t="0" b="985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-295276</wp:posOffset>
            </wp:positionV>
            <wp:extent cx="828675" cy="828675"/>
            <wp:effectExtent l="19050" t="0" r="9525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9D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819150</wp:posOffset>
            </wp:positionV>
            <wp:extent cx="6000750" cy="3867150"/>
            <wp:effectExtent l="19050" t="0" r="19050" b="0"/>
            <wp:wrapNone/>
            <wp:docPr id="1" name="Chart 1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E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tab/>
      </w:r>
      <w:r>
        <w:rPr>
          <w:lang w:val="id-ID"/>
        </w:rPr>
        <w:t xml:space="preserve">                                   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RSUD BALI MANDARA </w:t>
      </w:r>
    </w:p>
    <w:p w:rsidR="003D2458" w:rsidRPr="00DE2D11" w:rsidRDefault="003D2458" w:rsidP="00A34B69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                 </w:t>
      </w:r>
      <w:r w:rsidR="00DE2D11">
        <w:rPr>
          <w:rFonts w:ascii="Arial" w:hAnsi="Arial" w:cs="Arial"/>
          <w:b/>
          <w:bCs/>
          <w:sz w:val="28"/>
          <w:szCs w:val="28"/>
          <w:lang w:val="id-ID"/>
        </w:rPr>
        <w:t xml:space="preserve">           </w:t>
      </w:r>
      <w:r w:rsidRPr="00DE2D11">
        <w:rPr>
          <w:rFonts w:ascii="Arial" w:hAnsi="Arial" w:cs="Arial"/>
          <w:b/>
          <w:bCs/>
          <w:sz w:val="28"/>
          <w:szCs w:val="28"/>
          <w:lang w:val="id-ID"/>
        </w:rPr>
        <w:t>PROVINSI BALI</w:t>
      </w:r>
      <w:r w:rsidRPr="00DE2D1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21441D" w:rsidRDefault="0021441D" w:rsidP="003D2458">
      <w:pPr>
        <w:tabs>
          <w:tab w:val="left" w:pos="3405"/>
        </w:tabs>
      </w:pPr>
    </w:p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21441D" w:rsidP="0021441D"/>
    <w:p w:rsidR="0021441D" w:rsidRPr="0021441D" w:rsidRDefault="005D085B" w:rsidP="0021441D">
      <w:r w:rsidRPr="005D085B">
        <w:rPr>
          <w:noProof/>
          <w:color w:val="FFFF00"/>
        </w:rPr>
        <w:drawing>
          <wp:inline distT="0" distB="0" distL="0" distR="0">
            <wp:extent cx="6057900" cy="3467100"/>
            <wp:effectExtent l="19050" t="0" r="19050" b="0"/>
            <wp:docPr id="8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1441D" w:rsidRPr="0021441D" w:rsidRDefault="0021441D" w:rsidP="0021441D"/>
    <w:p w:rsidR="0021441D" w:rsidRDefault="0021441D" w:rsidP="0021441D"/>
    <w:p w:rsidR="003D0D94" w:rsidRPr="0021441D" w:rsidRDefault="0021441D" w:rsidP="0021441D">
      <w:pPr>
        <w:tabs>
          <w:tab w:val="left" w:pos="3465"/>
        </w:tabs>
      </w:pPr>
      <w:r>
        <w:tab/>
      </w:r>
    </w:p>
    <w:sectPr w:rsidR="003D0D94" w:rsidRPr="0021441D" w:rsidSect="00900704">
      <w:pgSz w:w="11907" w:h="1871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458" w:rsidRDefault="003D2458" w:rsidP="003D2458">
      <w:pPr>
        <w:spacing w:after="0" w:line="240" w:lineRule="auto"/>
      </w:pPr>
      <w:r>
        <w:separator/>
      </w:r>
    </w:p>
  </w:endnote>
  <w:end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458" w:rsidRDefault="003D2458" w:rsidP="003D2458">
      <w:pPr>
        <w:spacing w:after="0" w:line="240" w:lineRule="auto"/>
      </w:pPr>
      <w:r>
        <w:separator/>
      </w:r>
    </w:p>
  </w:footnote>
  <w:footnote w:type="continuationSeparator" w:id="0">
    <w:p w:rsidR="003D2458" w:rsidRDefault="003D2458" w:rsidP="003D24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9D3"/>
    <w:rsid w:val="0021441D"/>
    <w:rsid w:val="003D2458"/>
    <w:rsid w:val="00455236"/>
    <w:rsid w:val="005D085B"/>
    <w:rsid w:val="005D7DEC"/>
    <w:rsid w:val="005E67BE"/>
    <w:rsid w:val="00900704"/>
    <w:rsid w:val="00A34B69"/>
    <w:rsid w:val="00B209EC"/>
    <w:rsid w:val="00C80D51"/>
    <w:rsid w:val="00DE2D11"/>
    <w:rsid w:val="00DE40D4"/>
    <w:rsid w:val="00DF0447"/>
    <w:rsid w:val="00ED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7B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9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2458"/>
  </w:style>
  <w:style w:type="paragraph" w:styleId="Footer">
    <w:name w:val="footer"/>
    <w:basedOn w:val="Normal"/>
    <w:link w:val="FooterChar"/>
    <w:uiPriority w:val="99"/>
    <w:semiHidden/>
    <w:unhideWhenUsed/>
    <w:rsid w:val="003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24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../ppt/media/hdphoto2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UMUM%202\Downloads\Keluhan%20Pasien%202023%20salinan%20salinan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UMUM%202\Downloads\Keluhan%20Pasien%202023%20salinan%20salina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pivotSource>
    <c:name>[Keluhan Pasien 2023 salinan salinan.xlsx]Chart Keluhan!PivotTable1</c:name>
    <c:fmtId val="66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d-ID" sz="1400">
                <a:latin typeface="Arial" pitchFamily="34" charset="0"/>
                <a:cs typeface="Arial" pitchFamily="34" charset="0"/>
              </a:rPr>
              <a:t>Total Pengaduan 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d-ID" sz="1400">
                <a:latin typeface="Arial" pitchFamily="34" charset="0"/>
                <a:cs typeface="Arial" pitchFamily="34" charset="0"/>
              </a:rPr>
              <a:t>Di RSUD Bali Mandara 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d-ID" sz="1400">
                <a:latin typeface="Arial" pitchFamily="34" charset="0"/>
                <a:cs typeface="Arial" pitchFamily="34" charset="0"/>
              </a:rPr>
              <a:t> Tahun 2023</a:t>
            </a:r>
          </a:p>
        </c:rich>
      </c:tx>
      <c:layout/>
      <c:spPr>
        <a:noFill/>
        <a:ln>
          <a:noFill/>
        </a:ln>
        <a:effectLst/>
      </c:spPr>
    </c:title>
    <c:pivotFmts>
      <c:pivotFmt>
        <c:idx val="0"/>
        <c:marker>
          <c:symbol val="none"/>
        </c:marker>
        <c:dLbl>
          <c:idx val="0"/>
          <c:spPr>
            <a:pattFill prst="pct75">
              <a:fgClr>
                <a:sysClr val="windowText" lastClr="000000">
                  <a:lumMod val="75000"/>
                  <a:lumOff val="25000"/>
                </a:sysClr>
              </a:fgClr>
              <a:bgClr>
                <a:sysClr val="windowText" lastClr="000000">
                  <a:lumMod val="65000"/>
                  <a:lumOff val="35000"/>
                </a:sysClr>
              </a:bgClr>
            </a:pattFill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0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CatName val="1"/>
          <c:showPercent val="1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delete val="1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2"/>
      </c:pivotFmt>
      <c:pivotFmt>
        <c:idx val="3"/>
      </c:pivotFmt>
      <c:pivotFmt>
        <c:idx val="4"/>
      </c:pivotFmt>
      <c:pivotFmt>
        <c:idx val="5"/>
      </c:pivotFmt>
      <c:pivotFmt>
        <c:idx val="6"/>
      </c:pivotFmt>
      <c:pivotFmt>
        <c:idx val="7"/>
      </c:pivotFmt>
      <c:pivotFmt>
        <c:idx val="8"/>
      </c:pivotFmt>
      <c:pivotFmt>
        <c:idx val="9"/>
      </c:pivotFmt>
      <c:pivotFmt>
        <c:idx val="10"/>
      </c:pivotFmt>
      <c:pivotFmt>
        <c:idx val="11"/>
      </c:pivotFmt>
      <c:pivotFmt>
        <c:idx val="12"/>
      </c:pivotFmt>
      <c:pivotFmt>
        <c:idx val="13"/>
      </c:pivotFmt>
      <c:pivotFmt>
        <c:idx val="14"/>
      </c:pivotFmt>
      <c:pivotFmt>
        <c:idx val="15"/>
      </c:pivotFmt>
      <c:pivotFmt>
        <c:idx val="16"/>
      </c:pivotFmt>
      <c:pivotFmt>
        <c:idx val="17"/>
      </c:pivotFmt>
      <c:pivotFmt>
        <c:idx val="18"/>
      </c:pivotFmt>
      <c:pivotFmt>
        <c:idx val="19"/>
      </c:pivotFmt>
      <c:pivotFmt>
        <c:idx val="20"/>
      </c:pivotFmt>
      <c:pivotFmt>
        <c:idx val="21"/>
      </c:pivotFmt>
      <c:pivotFmt>
        <c:idx val="22"/>
      </c:pivotFmt>
      <c:pivotFmt>
        <c:idx val="23"/>
      </c:pivotFmt>
      <c:pivotFmt>
        <c:idx val="24"/>
      </c:pivotFmt>
      <c:pivotFmt>
        <c:idx val="25"/>
      </c:pivotFmt>
      <c:pivotFmt>
        <c:idx val="26"/>
      </c:pivotFmt>
      <c:pivotFmt>
        <c:idx val="27"/>
      </c:pivotFmt>
      <c:pivotFmt>
        <c:idx val="28"/>
      </c:pivotFmt>
      <c:pivotFmt>
        <c:idx val="29"/>
      </c:pivotFmt>
      <c:pivotFmt>
        <c:idx val="30"/>
      </c:pivotFmt>
      <c:pivotFmt>
        <c:idx val="31"/>
      </c:pivotFmt>
      <c:pivotFmt>
        <c:idx val="32"/>
      </c:pivotFmt>
      <c:pivotFmt>
        <c:idx val="33"/>
      </c:pivotFmt>
      <c:pivotFmt>
        <c:idx val="34"/>
      </c:pivotFmt>
      <c:pivotFmt>
        <c:idx val="35"/>
        <c:marker>
          <c:symbol val="none"/>
        </c:marker>
        <c:dLbl>
          <c:idx val="0"/>
          <c:spPr>
            <a:pattFill prst="pct75">
              <a:fgClr>
                <a:sysClr val="windowText" lastClr="000000">
                  <a:lumMod val="75000"/>
                  <a:lumOff val="25000"/>
                </a:sysClr>
              </a:fgClr>
              <a:bgClr>
                <a:sysClr val="windowText" lastClr="000000">
                  <a:lumMod val="65000"/>
                  <a:lumOff val="35000"/>
                </a:sysClr>
              </a:bgClr>
            </a:pattFill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0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CatName val="1"/>
          <c:showPercent val="1"/>
          <c:extLst xmlns:c16r2="http://schemas.microsoft.com/office/drawing/2015/06/chart">
            <c:ext xmlns:c15="http://schemas.microsoft.com/office/drawing/2012/chart" uri="{CE6537A1-D6FC-4f65-9D91-7224C49458BB}"/>
          </c:extLst>
        </c:dLbl>
      </c:pivotFmt>
      <c:pivotFmt>
        <c:idx val="36"/>
        <c:spPr>
          <a:solidFill>
            <a:schemeClr val="accent1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37"/>
        <c:spPr>
          <a:solidFill>
            <a:schemeClr val="accent2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38"/>
        <c:spPr>
          <a:solidFill>
            <a:schemeClr val="accent3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39"/>
        <c:spPr>
          <a:solidFill>
            <a:schemeClr val="accent4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0"/>
        <c:spPr>
          <a:solidFill>
            <a:schemeClr val="accent5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1"/>
        <c:spPr>
          <a:solidFill>
            <a:schemeClr val="accent6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2"/>
        <c:spPr>
          <a:solidFill>
            <a:schemeClr val="accent1">
              <a:lumMod val="60000"/>
            </a:schemeClr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3"/>
        <c:spPr>
          <a:solidFill>
            <a:schemeClr val="accent1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4"/>
        <c:spPr>
          <a:solidFill>
            <a:schemeClr val="accent2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5"/>
        <c:spPr>
          <a:solidFill>
            <a:schemeClr val="accent3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6"/>
        <c:spPr>
          <a:solidFill>
            <a:schemeClr val="accent4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7"/>
        <c:spPr>
          <a:solidFill>
            <a:schemeClr val="accent5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8"/>
        <c:spPr>
          <a:solidFill>
            <a:schemeClr val="accent6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49"/>
        <c:spPr>
          <a:solidFill>
            <a:schemeClr val="accent1">
              <a:lumMod val="60000"/>
            </a:schemeClr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0"/>
        <c:marker>
          <c:symbol val="none"/>
        </c:marker>
        <c:dLbl>
          <c:idx val="0"/>
          <c:spPr>
            <a:pattFill prst="pct75">
              <a:fgClr>
                <a:sysClr val="windowText" lastClr="000000">
                  <a:lumMod val="75000"/>
                  <a:lumOff val="25000"/>
                </a:sysClr>
              </a:fgClr>
              <a:bgClr>
                <a:sysClr val="windowText" lastClr="000000">
                  <a:lumMod val="65000"/>
                  <a:lumOff val="35000"/>
                </a:sysClr>
              </a:bgClr>
            </a:pattFill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0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CatName val="1"/>
          <c:showPercent val="1"/>
        </c:dLbl>
      </c:pivotFmt>
      <c:pivotFmt>
        <c:idx val="51"/>
        <c:spPr>
          <a:solidFill>
            <a:schemeClr val="accent1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2"/>
        <c:spPr>
          <a:solidFill>
            <a:schemeClr val="accent2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3"/>
        <c:spPr>
          <a:solidFill>
            <a:schemeClr val="accent3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4"/>
        <c:spPr>
          <a:solidFill>
            <a:schemeClr val="accent4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5"/>
        <c:spPr>
          <a:solidFill>
            <a:schemeClr val="accent5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6"/>
        <c:spPr>
          <a:solidFill>
            <a:schemeClr val="accent6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7"/>
        <c:spPr>
          <a:solidFill>
            <a:schemeClr val="accent1">
              <a:lumMod val="60000"/>
            </a:schemeClr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58"/>
        <c:marker>
          <c:symbol val="none"/>
        </c:marker>
        <c:dLbl>
          <c:idx val="0"/>
          <c:spPr>
            <a:pattFill prst="pct75">
              <a:fgClr>
                <a:sysClr val="windowText" lastClr="000000">
                  <a:lumMod val="75000"/>
                  <a:lumOff val="25000"/>
                </a:sysClr>
              </a:fgClr>
              <a:bgClr>
                <a:sysClr val="windowText" lastClr="000000">
                  <a:lumMod val="65000"/>
                  <a:lumOff val="35000"/>
                </a:sysClr>
              </a:bgClr>
            </a:pattFill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0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CatName val="1"/>
          <c:showPercent val="1"/>
        </c:dLbl>
      </c:pivotFmt>
      <c:pivotFmt>
        <c:idx val="59"/>
        <c:spPr>
          <a:solidFill>
            <a:schemeClr val="accent1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0"/>
        <c:spPr>
          <a:solidFill>
            <a:schemeClr val="accent2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1"/>
        <c:spPr>
          <a:solidFill>
            <a:schemeClr val="accent3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2"/>
        <c:spPr>
          <a:solidFill>
            <a:schemeClr val="accent4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3"/>
        <c:spPr>
          <a:solidFill>
            <a:schemeClr val="accent5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4"/>
        <c:spPr>
          <a:solidFill>
            <a:schemeClr val="accent6"/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  <c:pivotFmt>
        <c:idx val="65"/>
        <c:spPr>
          <a:solidFill>
            <a:schemeClr val="accent1">
              <a:lumMod val="60000"/>
            </a:schemeClr>
          </a:solidFill>
          <a:ln>
            <a:noFill/>
          </a:ln>
          <a:effectLst>
            <a:outerShdw blurRad="254000" sx="102000" sy="102000" algn="ctr" rotWithShape="0">
              <a:prstClr val="black">
                <a:alpha val="20000"/>
              </a:prstClr>
            </a:outerShdw>
          </a:effectLst>
        </c:spPr>
      </c:pivotFmt>
    </c:pivotFmts>
    <c:plotArea>
      <c:layout/>
      <c:pieChart>
        <c:varyColors val="1"/>
        <c:ser>
          <c:idx val="0"/>
          <c:order val="0"/>
          <c:tx>
            <c:strRef>
              <c:f>'Chart Keluhan'!$B$3:$B$4</c:f>
              <c:strCache>
                <c:ptCount val="1"/>
                <c:pt idx="0">
                  <c:v>Count of NO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5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CatName val="1"/>
            <c:showPercent val="1"/>
          </c:dLbls>
          <c:cat>
            <c:strRef>
              <c:f>'Chart Keluhan'!$A$5:$A$12</c:f>
              <c:strCache>
                <c:ptCount val="7"/>
                <c:pt idx="0">
                  <c:v>DM INSTAGRAM</c:v>
                </c:pt>
                <c:pt idx="1">
                  <c:v>Google Review</c:v>
                </c:pt>
                <c:pt idx="2">
                  <c:v>Kotak Saran</c:v>
                </c:pt>
                <c:pt idx="3">
                  <c:v>LANGSUNG</c:v>
                </c:pt>
                <c:pt idx="4">
                  <c:v>SP4N LAPOR</c:v>
                </c:pt>
                <c:pt idx="5">
                  <c:v>Telepon Operator</c:v>
                </c:pt>
                <c:pt idx="6">
                  <c:v>Email</c:v>
                </c:pt>
              </c:strCache>
            </c:strRef>
          </c:cat>
          <c:val>
            <c:numRef>
              <c:f>'Chart Keluhan'!$B$5:$B$12</c:f>
              <c:numCache>
                <c:formatCode>General</c:formatCode>
                <c:ptCount val="7"/>
                <c:pt idx="0">
                  <c:v>6</c:v>
                </c:pt>
                <c:pt idx="1">
                  <c:v>1</c:v>
                </c:pt>
                <c:pt idx="2">
                  <c:v>4</c:v>
                </c:pt>
                <c:pt idx="3">
                  <c:v>37</c:v>
                </c:pt>
                <c:pt idx="4">
                  <c:v>2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469-4644-A5CC-D940172721B8}"/>
            </c:ext>
          </c:extLst>
        </c:ser>
        <c:ser>
          <c:idx val="1"/>
          <c:order val="1"/>
          <c:tx>
            <c:strRef>
              <c:f>'Chart Keluhan'!$C$3:$C$4</c:f>
              <c:strCache>
                <c:ptCount val="1"/>
                <c:pt idx="0">
                  <c:v>Count of SELESAI DITINDAKLANJUTI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5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CatName val="1"/>
            <c:showPercent val="1"/>
          </c:dLbls>
          <c:cat>
            <c:strRef>
              <c:f>'Chart Keluhan'!$A$5:$A$12</c:f>
              <c:strCache>
                <c:ptCount val="7"/>
                <c:pt idx="0">
                  <c:v>DM INSTAGRAM</c:v>
                </c:pt>
                <c:pt idx="1">
                  <c:v>Google Review</c:v>
                </c:pt>
                <c:pt idx="2">
                  <c:v>Kotak Saran</c:v>
                </c:pt>
                <c:pt idx="3">
                  <c:v>LANGSUNG</c:v>
                </c:pt>
                <c:pt idx="4">
                  <c:v>SP4N LAPOR</c:v>
                </c:pt>
                <c:pt idx="5">
                  <c:v>Telepon Operator</c:v>
                </c:pt>
                <c:pt idx="6">
                  <c:v>Email</c:v>
                </c:pt>
              </c:strCache>
            </c:strRef>
          </c:cat>
          <c:val>
            <c:numRef>
              <c:f>'Chart Keluhan'!$C$5:$C$12</c:f>
              <c:numCache>
                <c:formatCode>General</c:formatCode>
                <c:ptCount val="7"/>
                <c:pt idx="0">
                  <c:v>6</c:v>
                </c:pt>
                <c:pt idx="1">
                  <c:v>1</c:v>
                </c:pt>
                <c:pt idx="2">
                  <c:v>4</c:v>
                </c:pt>
                <c:pt idx="3">
                  <c:v>37</c:v>
                </c:pt>
                <c:pt idx="4">
                  <c:v>2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469-4644-A5CC-D940172721B8}"/>
            </c:ext>
          </c:extLst>
        </c:ser>
        <c:dLbls>
          <c:showCatName val="1"/>
          <c:showPercent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zero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pivotSource>
    <c:name>[Keluhan Pasien 2023 salinan salinan.xlsx]Sheet2!PivotTable1</c:name>
    <c:fmtId val="11"/>
  </c:pivotSource>
  <c:chart>
    <c:title>
      <c:tx>
        <c:rich>
          <a:bodyPr/>
          <a:lstStyle/>
          <a:p>
            <a:pPr>
              <a:defRPr/>
            </a:pPr>
            <a:r>
              <a:rPr lang="id-ID" sz="1100">
                <a:latin typeface="Arial" pitchFamily="34" charset="0"/>
                <a:cs typeface="Arial" pitchFamily="34" charset="0"/>
              </a:rPr>
              <a:t>Persentase</a:t>
            </a:r>
            <a:r>
              <a:rPr lang="id-ID" sz="1100" baseline="0">
                <a:latin typeface="Arial" pitchFamily="34" charset="0"/>
                <a:cs typeface="Arial" pitchFamily="34" charset="0"/>
              </a:rPr>
              <a:t> pengaduan </a:t>
            </a:r>
          </a:p>
          <a:p>
            <a:pPr>
              <a:defRPr/>
            </a:pPr>
            <a:r>
              <a:rPr lang="id-ID" sz="1100" baseline="0">
                <a:latin typeface="Arial" pitchFamily="34" charset="0"/>
                <a:cs typeface="Arial" pitchFamily="34" charset="0"/>
              </a:rPr>
              <a:t>yang telah berhasil ditindaklanjuti</a:t>
            </a:r>
            <a:endParaRPr lang="en-US" sz="1100">
              <a:latin typeface="Arial" pitchFamily="34" charset="0"/>
              <a:cs typeface="Arial" pitchFamily="34" charset="0"/>
            </a:endParaRPr>
          </a:p>
        </c:rich>
      </c:tx>
      <c:layout/>
    </c:title>
    <c:pivotFmts>
      <c:pivotFmt>
        <c:idx val="0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1"/>
        <c:marker>
          <c:symbol val="none"/>
        </c:marker>
      </c:pivotFmt>
      <c:pivotFmt>
        <c:idx val="2"/>
        <c:marker>
          <c:symbol val="none"/>
        </c:marker>
      </c:pivotFmt>
      <c:pivotFmt>
        <c:idx val="3"/>
        <c:marker>
          <c:symbol val="none"/>
        </c:marker>
      </c:pivotFmt>
      <c:pivotFmt>
        <c:idx val="4"/>
        <c:dLbl>
          <c:idx val="0"/>
          <c:layout>
            <c:manualLayout>
              <c:x val="4.3939030947703593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  <c:pivotFmt>
        <c:idx val="5"/>
        <c:marker>
          <c:symbol val="none"/>
        </c:marker>
        <c:dLbl>
          <c:idx val="0"/>
          <c:spPr/>
          <c:txPr>
            <a:bodyPr/>
            <a:lstStyle/>
            <a:p>
              <a:pPr>
                <a:defRPr/>
              </a:pPr>
              <a:endParaRPr lang="en-US"/>
            </a:p>
          </c:txPr>
          <c:showCatName val="1"/>
          <c:showPercent val="1"/>
        </c:dLbl>
      </c:pivotFmt>
      <c:pivotFmt>
        <c:idx val="6"/>
        <c:dLbl>
          <c:idx val="0"/>
          <c:layout>
            <c:manualLayout>
              <c:x val="4.3939030947703593E-3"/>
              <c:y val="-0.40769735704733279"/>
            </c:manualLayout>
          </c:layout>
          <c:tx>
            <c:rich>
              <a:bodyPr/>
              <a:lstStyle/>
              <a:p>
                <a:r>
                  <a:rPr lang="en-US"/>
                  <a:t>
100%</a:t>
                </a:r>
              </a:p>
            </c:rich>
          </c:tx>
          <c:showCatName val="1"/>
          <c:showPercent val="1"/>
        </c:dLbl>
      </c:pivotFmt>
    </c:pivotFmts>
    <c:plotArea>
      <c:layout/>
      <c:pieChart>
        <c:varyColors val="1"/>
        <c:ser>
          <c:idx val="0"/>
          <c:order val="0"/>
          <c:tx>
            <c:strRef>
              <c:f>Sheet2!$B$1</c:f>
              <c:strCache>
                <c:ptCount val="1"/>
                <c:pt idx="0">
                  <c:v>Total</c:v>
                </c:pt>
              </c:strCache>
            </c:strRef>
          </c:tx>
          <c:dLbls>
            <c:dLbl>
              <c:idx val="0"/>
              <c:layout>
                <c:manualLayout>
                  <c:x val="-1.8953762855114808E-3"/>
                  <c:y val="-0.3783934700470133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Sheet2!$A$2:$A$3</c:f>
              <c:strCache>
                <c:ptCount val="1"/>
                <c:pt idx="0">
                  <c:v>Pengaduan yang selesai ditindaklanjuti</c:v>
                </c:pt>
              </c:strCache>
            </c:strRef>
          </c:cat>
          <c:val>
            <c:numRef>
              <c:f>Sheet2!$B$2:$B$3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firstSliceAng val="0"/>
      </c:pieChart>
    </c:plotArea>
    <c:plotVisOnly val="1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0.03424</cdr:x>
      <cdr:y>0.18674</cdr:y>
    </cdr:from>
    <cdr:to>
      <cdr:x>0.1612</cdr:x>
      <cdr:y>0.62597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21972" y="730072"/>
          <a:ext cx="1193979" cy="17171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0.01216</cdr:x>
      <cdr:y>0.23361</cdr:y>
    </cdr:from>
    <cdr:to>
      <cdr:x>0.25397</cdr:x>
      <cdr:y>0.80049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2985" y="903386"/>
          <a:ext cx="1451015" cy="2192239"/>
        </a:xfrm>
        <a:prstGeom xmlns:a="http://schemas.openxmlformats.org/drawingml/2006/main" prst="rect">
          <a:avLst/>
        </a:prstGeom>
        <a:solidFill xmlns:a="http://schemas.openxmlformats.org/drawingml/2006/main">
          <a:srgbClr val="00B050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l"/>
          <a:r>
            <a:rPr lang="id-ID" sz="1200">
              <a:latin typeface="Arial" pitchFamily="34" charset="0"/>
              <a:cs typeface="Arial" pitchFamily="34" charset="0"/>
            </a:rPr>
            <a:t>Dari</a:t>
          </a:r>
          <a:r>
            <a:rPr lang="id-ID" sz="1200" baseline="0">
              <a:latin typeface="Arial" pitchFamily="34" charset="0"/>
              <a:cs typeface="Arial" pitchFamily="34" charset="0"/>
            </a:rPr>
            <a:t> Total Keluhan 53 sudah selesai ditangani 100% </a:t>
          </a:r>
          <a:r>
            <a:rPr lang="en-US" sz="1200">
              <a:latin typeface="Arial" pitchFamily="34" charset="0"/>
              <a:ea typeface="+mn-ea"/>
              <a:cs typeface="Arial" pitchFamily="34" charset="0"/>
            </a:rPr>
            <a:t>(prosentase dihitung dari </a:t>
          </a:r>
          <a:r>
            <a:rPr lang="id-ID" sz="1200">
              <a:latin typeface="Arial" pitchFamily="34" charset="0"/>
              <a:ea typeface="+mn-ea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ea typeface="+mn-ea"/>
              <a:cs typeface="Arial" pitchFamily="34" charset="0"/>
            </a:rPr>
            <a:t> yang selesai ditindaklanjuti </a:t>
          </a:r>
          <a:r>
            <a:rPr lang="en-US" sz="1200">
              <a:latin typeface="Arial" pitchFamily="34" charset="0"/>
              <a:ea typeface="+mn-ea"/>
              <a:cs typeface="Arial" pitchFamily="34" charset="0"/>
            </a:rPr>
            <a:t>/jumlah </a:t>
          </a:r>
          <a:r>
            <a:rPr lang="id-ID" sz="1200">
              <a:latin typeface="Arial" pitchFamily="34" charset="0"/>
              <a:ea typeface="+mn-ea"/>
              <a:cs typeface="Arial" pitchFamily="34" charset="0"/>
            </a:rPr>
            <a:t>keluhan</a:t>
          </a:r>
          <a:r>
            <a:rPr lang="id-ID" sz="1200" baseline="0">
              <a:latin typeface="Arial" pitchFamily="34" charset="0"/>
              <a:ea typeface="+mn-ea"/>
              <a:cs typeface="Arial" pitchFamily="34" charset="0"/>
            </a:rPr>
            <a:t> yang ada </a:t>
          </a:r>
          <a:r>
            <a:rPr lang="en-US" sz="1200">
              <a:latin typeface="Arial" pitchFamily="34" charset="0"/>
              <a:ea typeface="+mn-ea"/>
              <a:cs typeface="Arial" pitchFamily="34" charset="0"/>
            </a:rPr>
            <a:t>x 100%)</a:t>
          </a:r>
          <a:r>
            <a:rPr lang="id-ID" sz="1200">
              <a:latin typeface="Arial" pitchFamily="34" charset="0"/>
              <a:ea typeface="+mn-ea"/>
              <a:cs typeface="Arial" pitchFamily="34" charset="0"/>
            </a:rPr>
            <a:t>.</a:t>
          </a:r>
          <a:endParaRPr lang="en-US" sz="1200">
            <a:latin typeface="Arial" pitchFamily="34" charset="0"/>
            <a:cs typeface="Arial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0.49245</cdr:x>
      <cdr:y>0.22527</cdr:y>
    </cdr:from>
    <cdr:to>
      <cdr:x>0.5</cdr:x>
      <cdr:y>0.54395</cdr:y>
    </cdr:to>
    <cdr:sp macro="" textlink="">
      <cdr:nvSpPr>
        <cdr:cNvPr id="5" name="Straight Arrow Connector 4"/>
        <cdr:cNvSpPr/>
      </cdr:nvSpPr>
      <cdr:spPr>
        <a:xfrm xmlns:a="http://schemas.openxmlformats.org/drawingml/2006/main" flipH="1" flipV="1">
          <a:off x="2983223" y="781049"/>
          <a:ext cx="45719" cy="1104893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>
              <a:lumMod val="95000"/>
              <a:lumOff val="5000"/>
            </a:schemeClr>
          </a:solidFill>
          <a:headEnd type="arrow"/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63893-E3BC-449E-AABD-1E0257EE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 2</dc:creator>
  <cp:lastModifiedBy>UMUM 2</cp:lastModifiedBy>
  <cp:revision>6</cp:revision>
  <cp:lastPrinted>2024-08-08T03:45:00Z</cp:lastPrinted>
  <dcterms:created xsi:type="dcterms:W3CDTF">2024-08-08T02:50:00Z</dcterms:created>
  <dcterms:modified xsi:type="dcterms:W3CDTF">2024-08-08T03:46:00Z</dcterms:modified>
</cp:coreProperties>
</file>